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D5" w:rsidRDefault="00AC63D5" w:rsidP="00AC63D5">
      <w:pPr>
        <w:pStyle w:val="a5"/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color w:val="333333"/>
          <w:sz w:val="36"/>
          <w:szCs w:val="36"/>
          <w:shd w:val="clear" w:color="auto" w:fill="FFFFFF"/>
        </w:rPr>
        <w:t xml:space="preserve">四川省松潘县人民检察院　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333333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起</w:t>
      </w:r>
      <w:r>
        <w:rPr>
          <w:rFonts w:ascii="MS Mincho" w:eastAsia="MS Mincho" w:hAnsi="MS Mincho" w:cs="MS Mincho" w:hint="eastAsia"/>
          <w:b/>
          <w:bCs/>
          <w:color w:val="333333"/>
          <w:sz w:val="44"/>
          <w:szCs w:val="44"/>
          <w:shd w:val="clear" w:color="auto" w:fill="FFFFFF"/>
        </w:rPr>
        <w:t> </w:t>
      </w: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诉</w:t>
      </w:r>
      <w:r>
        <w:rPr>
          <w:rFonts w:ascii="MS Mincho" w:eastAsia="MS Mincho" w:hAnsi="MS Mincho" w:cs="MS Mincho" w:hint="eastAsia"/>
          <w:b/>
          <w:bCs/>
          <w:color w:val="333333"/>
          <w:sz w:val="44"/>
          <w:szCs w:val="44"/>
          <w:shd w:val="clear" w:color="auto" w:fill="FFFFFF"/>
        </w:rPr>
        <w:t> </w:t>
      </w: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书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3878"/>
        <w:jc w:val="right"/>
        <w:rPr>
          <w:rFonts w:ascii="楷体" w:eastAsia="楷体" w:cs="楷体"/>
          <w:color w:val="333333"/>
          <w:sz w:val="28"/>
          <w:szCs w:val="28"/>
        </w:rPr>
      </w:pPr>
      <w:r>
        <w:rPr>
          <w:rFonts w:ascii="楷体" w:eastAsia="楷体" w:cs="楷体" w:hint="eastAsia"/>
          <w:color w:val="333333"/>
          <w:sz w:val="28"/>
          <w:szCs w:val="28"/>
          <w:shd w:val="clear" w:color="auto" w:fill="FFFFFF"/>
        </w:rPr>
        <w:t xml:space="preserve">松检刑诉〔2021〕27号　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 xml:space="preserve">　　被告人罗某某，男性，1975年**月**日出生，身份号码5132241975********，藏族，文盲或半文盲，户籍所在地四川省阿坝藏族羌族自治州松潘县，住**乡**村**组**号。因涉嫌盗伐林木罪，经松潘县公安局决定，于2021年5月19日依法被刑事拘留，于2021年5月26日被取保候审。2021年10月26日，经松潘县人民检察院决定，依法对其继续取保候审。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本案由松潘县公安局侦查终结，以被告人罗某某涉嫌盗伐林木罪，于2021年10月26日向本院移送起诉。本院受理后，于2021年10月26日已告知被告人有权委托辩护人和认罪认罚可能导致的法律后果，依法讯问了被告人，听取了被告人及其值班律师的意见，审查了全部案件材料。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经依法审查查明：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2020年7月14日，被告人罗某某为修建自家房屋，在松潘县林业草原局办理了林木采伐许可证，许可证规定采伐地点为**林场**村作业区**小班，采伐蓄积15立方米，出材量7.5立方米。罗某某于2020年9月至10月期间，在林木采伐许可证规定地点以外的松潘县**乡**村**组后山**处，使用斧头和油锯砍伐云杉10株。经松潘县林业和草原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lastRenderedPageBreak/>
        <w:t>局鉴定，罗某某指认的10个伐桩活立木蓄积为39.6184立方米，采伐地点林地权属为国有。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认定上述事实的证据如下：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64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1.书证：案件来源说明、信访事项函、受案登记表、立案决定书、拘留证、变更羁押期限通知书、取保候审决定书、释放通知书、释放证明书、四川省林木采伐许可证、证明、人口信息（户籍）证明等；2.物证：斧头、油锯等；3.证人证言：证人扎某某、龙某某的证言；4.被告人罗某某的供述；5.现场勘验、辨认笔录；6.鉴定意见等。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上述证据收集程序合法，内容客观真实，足以认定指控事实。被告人罗某某对指控的犯罪事实和证据没有异议，并自愿认罪认罚。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633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本院认为，罗某某在林木采伐许可证规定地点以外的国有林地内采伐云杉10株，经鉴定折算活立木蓄积39.6184立方米，数量巨大，其行为触犯了《中华人民共和国刑法》第三百四十五条第一款的规定，犯罪事实清楚，证据确实、充分，应当以盗伐林木罪追究其刑事责任。</w:t>
      </w:r>
      <w:r>
        <w:rPr>
          <w:rFonts w:ascii="仿宋" w:eastAsia="仿宋" w:cs="仿宋" w:hint="eastAsia"/>
          <w:color w:val="000000"/>
          <w:sz w:val="32"/>
          <w:szCs w:val="32"/>
          <w:shd w:val="clear" w:color="auto" w:fill="FFFFFF"/>
        </w:rPr>
        <w:t>被告人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罗某某</w:t>
      </w:r>
      <w:r>
        <w:rPr>
          <w:rFonts w:ascii="仿宋" w:eastAsia="仿宋" w:cs="仿宋" w:hint="eastAsia"/>
          <w:color w:val="000000"/>
          <w:sz w:val="32"/>
          <w:szCs w:val="32"/>
          <w:shd w:val="clear" w:color="auto" w:fill="FFFFFF"/>
        </w:rPr>
        <w:t>认罪认罚，依据《中华人民共和国刑事诉讼法》第十五条的规定，可以从宽处理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。根据《中华人民共和国刑事诉讼法》第一百七十六条的规定，提起公诉，请依法判处。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64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此致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 xml:space="preserve">松潘县人民法院　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5372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lastRenderedPageBreak/>
        <w:t>检</w:t>
      </w:r>
      <w:r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  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察</w:t>
      </w:r>
      <w:r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  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官</w:t>
      </w:r>
      <w:r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刘洪浩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5372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 xml:space="preserve">2021年11月16日　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880"/>
        <w:rPr>
          <w:rFonts w:ascii="仿宋" w:eastAsia="仿宋" w:cs="仿宋"/>
          <w:color w:val="333333"/>
          <w:sz w:val="20"/>
          <w:szCs w:val="20"/>
        </w:rPr>
      </w:pPr>
      <w:r>
        <w:rPr>
          <w:rFonts w:ascii="MS Mincho" w:eastAsia="MS Mincho" w:hAnsi="MS Mincho" w:cs="MS Mincho" w:hint="eastAsia"/>
          <w:color w:val="333333"/>
          <w:sz w:val="20"/>
          <w:szCs w:val="20"/>
          <w:shd w:val="clear" w:color="auto" w:fill="FFFFFF"/>
        </w:rPr>
        <w:t>                                                     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（院印）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left="1280" w:hanging="128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附件：1.被告人现在处所：四川省松潘县**乡**村**组**号；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96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2.案卷材料和证据2册；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960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3.《认罪认罚具结书》1份；</w:t>
      </w:r>
    </w:p>
    <w:p w:rsidR="00AC63D5" w:rsidRDefault="00AC63D5" w:rsidP="00AC63D5">
      <w:pPr>
        <w:pStyle w:val="a5"/>
        <w:widowControl/>
        <w:shd w:val="clear" w:color="auto" w:fill="FFFFFF"/>
        <w:spacing w:line="560" w:lineRule="atLeast"/>
        <w:ind w:firstLine="934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shd w:val="clear" w:color="auto" w:fill="FFFFFF"/>
        </w:rPr>
        <w:t>4.木柄斧头1把，黑色油锯1台。</w:t>
      </w:r>
    </w:p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AC63D5" w:rsidRDefault="00AC63D5" w:rsidP="00AC63D5"/>
    <w:p w:rsidR="00BD2A26" w:rsidRPr="00AC63D5" w:rsidRDefault="00BD2A26"/>
    <w:sectPr w:rsidR="00BD2A26" w:rsidRPr="00AC6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26" w:rsidRDefault="00BD2A26" w:rsidP="00AC63D5">
      <w:r>
        <w:separator/>
      </w:r>
    </w:p>
  </w:endnote>
  <w:endnote w:type="continuationSeparator" w:id="1">
    <w:p w:rsidR="00BD2A26" w:rsidRDefault="00BD2A26" w:rsidP="00AC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26" w:rsidRDefault="00BD2A26" w:rsidP="00AC63D5">
      <w:r>
        <w:separator/>
      </w:r>
    </w:p>
  </w:footnote>
  <w:footnote w:type="continuationSeparator" w:id="1">
    <w:p w:rsidR="00BD2A26" w:rsidRDefault="00BD2A26" w:rsidP="00AC6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AC63D5"/>
    <w:rsid w:val="00AC63D5"/>
    <w:rsid w:val="00BD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D5"/>
    <w:pPr>
      <w:widowControl w:val="0"/>
      <w:jc w:val="both"/>
    </w:pPr>
    <w:rPr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  <w:lang w:bidi="bo-CN"/>
    </w:rPr>
  </w:style>
  <w:style w:type="character" w:customStyle="1" w:styleId="Char">
    <w:name w:val="页眉 Char"/>
    <w:basedOn w:val="a0"/>
    <w:link w:val="a3"/>
    <w:uiPriority w:val="99"/>
    <w:semiHidden/>
    <w:rsid w:val="00AC63D5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AC63D5"/>
    <w:pPr>
      <w:tabs>
        <w:tab w:val="center" w:pos="4153"/>
        <w:tab w:val="right" w:pos="8306"/>
      </w:tabs>
      <w:snapToGrid w:val="0"/>
      <w:jc w:val="left"/>
    </w:pPr>
    <w:rPr>
      <w:sz w:val="18"/>
      <w:szCs w:val="26"/>
      <w:lang w:bidi="bo-CN"/>
    </w:rPr>
  </w:style>
  <w:style w:type="character" w:customStyle="1" w:styleId="Char0">
    <w:name w:val="页脚 Char"/>
    <w:basedOn w:val="a0"/>
    <w:link w:val="a4"/>
    <w:uiPriority w:val="99"/>
    <w:semiHidden/>
    <w:rsid w:val="00AC63D5"/>
    <w:rPr>
      <w:sz w:val="18"/>
      <w:szCs w:val="26"/>
    </w:rPr>
  </w:style>
  <w:style w:type="paragraph" w:styleId="a5">
    <w:name w:val="Normal (Web)"/>
    <w:basedOn w:val="a"/>
    <w:rsid w:val="00AC63D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>Lenovo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2021-12-09T10:09:00Z</dcterms:created>
  <dcterms:modified xsi:type="dcterms:W3CDTF">2021-12-09T10:09:00Z</dcterms:modified>
</cp:coreProperties>
</file>