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A3" w:rsidRDefault="006648A3" w:rsidP="006648A3">
      <w:pPr>
        <w:pStyle w:val="a5"/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color w:val="333333"/>
          <w:sz w:val="36"/>
          <w:szCs w:val="36"/>
        </w:rPr>
      </w:pPr>
      <w:r>
        <w:rPr>
          <w:rFonts w:ascii="宋体" w:eastAsia="宋体" w:hAnsi="宋体" w:cs="宋体" w:hint="eastAsia"/>
          <w:color w:val="333333"/>
          <w:sz w:val="36"/>
          <w:szCs w:val="36"/>
          <w:shd w:val="clear" w:color="auto" w:fill="FFFFFF"/>
        </w:rPr>
        <w:t xml:space="preserve">四川省松潘县人民检察院　</w:t>
      </w:r>
    </w:p>
    <w:p w:rsidR="006648A3" w:rsidRDefault="006648A3" w:rsidP="006648A3">
      <w:pPr>
        <w:pStyle w:val="a5"/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color w:val="333333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起</w:t>
      </w:r>
      <w:r>
        <w:rPr>
          <w:rFonts w:ascii="MS Mincho" w:eastAsia="MS Mincho" w:hAnsi="MS Mincho" w:cs="MS Mincho" w:hint="eastAsia"/>
          <w:b/>
          <w:bCs/>
          <w:color w:val="333333"/>
          <w:sz w:val="44"/>
          <w:szCs w:val="44"/>
          <w:shd w:val="clear" w:color="auto" w:fill="FFFFFF"/>
        </w:rPr>
        <w:t> </w:t>
      </w: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诉</w:t>
      </w:r>
      <w:r>
        <w:rPr>
          <w:rFonts w:ascii="MS Mincho" w:eastAsia="MS Mincho" w:hAnsi="MS Mincho" w:cs="MS Mincho" w:hint="eastAsia"/>
          <w:b/>
          <w:bCs/>
          <w:color w:val="333333"/>
          <w:sz w:val="44"/>
          <w:szCs w:val="44"/>
          <w:shd w:val="clear" w:color="auto" w:fill="FFFFFF"/>
        </w:rPr>
        <w:t> </w:t>
      </w: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书</w:t>
      </w:r>
    </w:p>
    <w:p w:rsidR="006648A3" w:rsidRDefault="006648A3" w:rsidP="006648A3">
      <w:pPr>
        <w:pStyle w:val="a5"/>
        <w:widowControl/>
        <w:shd w:val="clear" w:color="auto" w:fill="FFFFFF"/>
        <w:spacing w:line="560" w:lineRule="atLeast"/>
        <w:ind w:firstLine="3878"/>
        <w:jc w:val="right"/>
        <w:rPr>
          <w:rFonts w:ascii="楷体" w:eastAsia="楷体" w:cs="楷体"/>
          <w:color w:val="333333"/>
          <w:sz w:val="28"/>
          <w:szCs w:val="28"/>
        </w:rPr>
      </w:pPr>
      <w:r>
        <w:rPr>
          <w:rFonts w:ascii="楷体" w:eastAsia="楷体" w:cs="楷体" w:hint="eastAsia"/>
          <w:color w:val="333333"/>
          <w:sz w:val="28"/>
          <w:szCs w:val="28"/>
          <w:shd w:val="clear" w:color="auto" w:fill="FFFFFF"/>
        </w:rPr>
        <w:t xml:space="preserve">松检刑诉〔2021〕29号　</w:t>
      </w:r>
    </w:p>
    <w:p w:rsidR="006648A3" w:rsidRDefault="006648A3" w:rsidP="006648A3">
      <w:pPr>
        <w:pStyle w:val="a5"/>
        <w:widowControl/>
        <w:shd w:val="clear" w:color="auto" w:fill="FFFFFF"/>
        <w:spacing w:line="560" w:lineRule="atLeast"/>
        <w:ind w:firstLine="640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被告人曲某某，男，1985年**月**日出生，身份号码2304211985********，汉族，初中文化，户籍所在地内蒙古自治区赤峰市红山区，住赤峰市红山区****号楼**单元**楼**，因涉嫌帮助信息网络犯罪活动罪，经松潘县公安局决定，于2021年7月13日依法被刑事拘留；经松潘县人民检察院批准，于2021年8月18日依法被松潘县公安局逮捕；经松潘县公安局决定，于2021年8月28日依法被取保候审；2021年10月28日，经松潘县人民检察院决定，依法对其继续取保候审。</w:t>
      </w:r>
    </w:p>
    <w:p w:rsidR="006648A3" w:rsidRDefault="006648A3" w:rsidP="006648A3">
      <w:pPr>
        <w:pStyle w:val="a5"/>
        <w:widowControl/>
        <w:shd w:val="clear" w:color="auto" w:fill="FFFFFF"/>
        <w:spacing w:line="560" w:lineRule="atLeast"/>
        <w:ind w:firstLine="633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本案由松潘县公安局侦查终结，以被告人曲某某涉嫌帮助信息网络犯罪活动罪，于2021年10月28日向本院移送起诉。本院受理后，于2021年10月28日已告知被告人有权委托辩护人和认罪认罚可能导致的法律后果，依法讯问了被告人，听取了被告人及其辩护人的意见，审查了全部案件材料。</w:t>
      </w:r>
    </w:p>
    <w:p w:rsidR="006648A3" w:rsidRDefault="006648A3" w:rsidP="006648A3">
      <w:pPr>
        <w:pStyle w:val="a5"/>
        <w:widowControl/>
        <w:shd w:val="clear" w:color="auto" w:fill="FFFFFF"/>
        <w:spacing w:line="560" w:lineRule="atLeast"/>
        <w:ind w:firstLine="633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经依法审查查明：</w:t>
      </w:r>
    </w:p>
    <w:p w:rsidR="006648A3" w:rsidRDefault="006648A3" w:rsidP="006648A3">
      <w:pPr>
        <w:pStyle w:val="a5"/>
        <w:widowControl/>
        <w:shd w:val="clear" w:color="auto" w:fill="FFFFFF"/>
        <w:spacing w:line="560" w:lineRule="atLeast"/>
        <w:ind w:firstLine="640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2020年10月左右，被告人曲某某为获取非法利益，在明知倒卖银行卡“四件套”（银行卡、手机卡、U盾或K宝、身份证复印件或照片）可能被用于网络赌博等违法犯罪活动</w:t>
      </w: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lastRenderedPageBreak/>
        <w:t>的情况下，通过网络联系境外人员“小某某”（正在侦查）商议倒卖银行卡“四件套”给“小某某”获利。后被告人曲某某联系姜某某（已判刑）收购银行卡“四件套”，姜某某伙同于某某（已判刑）从生某某（已判刑）、张某某（已判刑）等人处购买银行卡“四件套”卖予曲某某。曲某某又通过快递将所购银行卡“四件套”20余套转卖给“小某某”，共获利46500元。其中，被告人曲某某从姜某某处购买并转卖给“小某某”的2套银行卡“四件套”（户名：生某某、卡号：62284818982********；户名：张某某、卡号：62284818982********）被用于电信诈骗，导致罗某某经济损失400000元。</w:t>
      </w:r>
    </w:p>
    <w:p w:rsidR="006648A3" w:rsidRDefault="006648A3" w:rsidP="006648A3">
      <w:pPr>
        <w:pStyle w:val="a5"/>
        <w:widowControl/>
        <w:shd w:val="clear" w:color="auto" w:fill="FFFFFF"/>
        <w:spacing w:line="560" w:lineRule="atLeast"/>
        <w:ind w:firstLine="633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认定上述事实的证据如下：</w:t>
      </w:r>
    </w:p>
    <w:p w:rsidR="006648A3" w:rsidRDefault="006648A3" w:rsidP="006648A3">
      <w:pPr>
        <w:pStyle w:val="a5"/>
        <w:widowControl/>
        <w:shd w:val="clear" w:color="auto" w:fill="FFFFFF"/>
        <w:spacing w:line="560" w:lineRule="atLeast"/>
        <w:ind w:firstLine="633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1.书证：受案登记表、立案决定书、传唤证、到案经过、拘留证、变更羁押期限通知书、逮捕证、取保候审决定书、户籍证明、调取证据通知书、刑事判决书、曲某某、生某某、张某某银行卡明细、情况说明等；2.证人证言：证人罗某某、姜某某、于某某、生某某、张某某的证言；3.被告人曲某某的供述；4.勘验、检查、辨认等笔录及照片等。</w:t>
      </w:r>
    </w:p>
    <w:p w:rsidR="006648A3" w:rsidRDefault="006648A3" w:rsidP="006648A3">
      <w:pPr>
        <w:pStyle w:val="a5"/>
        <w:widowControl/>
        <w:shd w:val="clear" w:color="auto" w:fill="FFFFFF"/>
        <w:spacing w:line="560" w:lineRule="atLeast"/>
        <w:ind w:firstLine="633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上述证据收集程序合法，内容客观真实，足以认定指控事实。被告人曲某某对指控的犯罪事实和证据没有异议，并自愿认罪认罚。</w:t>
      </w:r>
    </w:p>
    <w:p w:rsidR="006648A3" w:rsidRDefault="006648A3" w:rsidP="006648A3">
      <w:pPr>
        <w:pStyle w:val="a5"/>
        <w:widowControl/>
        <w:shd w:val="clear" w:color="auto" w:fill="FFFFFF"/>
        <w:spacing w:line="560" w:lineRule="atLeast"/>
        <w:ind w:firstLine="633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lastRenderedPageBreak/>
        <w:t>本院认为，被告人曲某某明知他人购买银行卡“四件套”用于违法犯罪的情况下，仍在姜某某处购买银行卡“四件套”20余套转卖获取非法利益，为电信诈骗提供了支付结算工具，造成电信诈骗被害人重大经济损失，其行为触犯了《中华人民共和国刑法》第二百八十七条之二的规定，犯罪事实清楚，证据确实、充分，应当以帮助信息网络犯罪活动罪追究其刑事责任。</w:t>
      </w:r>
      <w:r>
        <w:rPr>
          <w:rFonts w:ascii="仿宋" w:eastAsia="仿宋" w:cs="仿宋" w:hint="eastAsia"/>
          <w:color w:val="000000"/>
          <w:sz w:val="32"/>
          <w:szCs w:val="32"/>
          <w:shd w:val="clear" w:color="auto" w:fill="FFFFFF"/>
        </w:rPr>
        <w:t>被告人</w:t>
      </w: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曲某某</w:t>
      </w:r>
      <w:r>
        <w:rPr>
          <w:rFonts w:ascii="仿宋" w:eastAsia="仿宋" w:cs="仿宋" w:hint="eastAsia"/>
          <w:color w:val="000000"/>
          <w:sz w:val="32"/>
          <w:szCs w:val="32"/>
          <w:shd w:val="clear" w:color="auto" w:fill="FFFFFF"/>
        </w:rPr>
        <w:t>认罪认罚，依据《中华人民共和国刑事诉讼法》第十五条的规定，可以从宽处理。</w:t>
      </w: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根据《中华人民共和国刑事诉讼法》第一百七十六条的规定，提起公诉，请依法判处。</w:t>
      </w:r>
    </w:p>
    <w:p w:rsidR="006648A3" w:rsidRDefault="006648A3" w:rsidP="006648A3">
      <w:pPr>
        <w:pStyle w:val="a5"/>
        <w:widowControl/>
        <w:shd w:val="clear" w:color="auto" w:fill="FFFFFF"/>
        <w:spacing w:line="560" w:lineRule="atLeast"/>
        <w:ind w:firstLine="640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此致</w:t>
      </w:r>
    </w:p>
    <w:p w:rsidR="006648A3" w:rsidRDefault="006648A3" w:rsidP="006648A3">
      <w:pPr>
        <w:pStyle w:val="a5"/>
        <w:widowControl/>
        <w:shd w:val="clear" w:color="auto" w:fill="FFFFFF"/>
        <w:spacing w:line="560" w:lineRule="atLeast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 xml:space="preserve">松潘县人民法院　</w:t>
      </w:r>
    </w:p>
    <w:p w:rsidR="006648A3" w:rsidRDefault="006648A3" w:rsidP="006648A3">
      <w:pPr>
        <w:pStyle w:val="a5"/>
        <w:widowControl/>
        <w:shd w:val="clear" w:color="auto" w:fill="FFFFFF"/>
        <w:spacing w:line="560" w:lineRule="atLeast"/>
        <w:ind w:firstLine="5372"/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检察官:刘洪浩</w:t>
      </w:r>
    </w:p>
    <w:p w:rsidR="006648A3" w:rsidRPr="00B143D2" w:rsidRDefault="006648A3" w:rsidP="006648A3">
      <w:pPr>
        <w:pStyle w:val="a5"/>
        <w:widowControl/>
        <w:shd w:val="clear" w:color="auto" w:fill="FFFFFF"/>
        <w:spacing w:line="560" w:lineRule="atLeast"/>
        <w:rPr>
          <w:rFonts w:ascii="仿宋" w:eastAsia="仿宋" w:cs="仿宋"/>
          <w:color w:val="333333"/>
          <w:sz w:val="32"/>
          <w:szCs w:val="32"/>
        </w:rPr>
      </w:pPr>
      <w:r>
        <w:rPr>
          <w:rFonts w:ascii="MS Mincho" w:eastAsia="MS Mincho" w:hAnsi="MS Mincho" w:cs="MS Mincho" w:hint="eastAsia"/>
          <w:color w:val="333333"/>
          <w:sz w:val="20"/>
          <w:szCs w:val="20"/>
          <w:shd w:val="clear" w:color="auto" w:fill="FFFFFF"/>
        </w:rPr>
        <w:t>            </w:t>
      </w:r>
      <w:r>
        <w:rPr>
          <w:rFonts w:ascii="MS Mincho" w:eastAsia="MS Mincho" w:hAnsi="MS Mincho" w:cs="MS Mincho" w:hint="eastAsia"/>
          <w:color w:val="333333"/>
          <w:sz w:val="32"/>
          <w:szCs w:val="32"/>
          <w:shd w:val="clear" w:color="auto" w:fill="FFFFFF"/>
        </w:rPr>
        <w:t>      </w:t>
      </w: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 xml:space="preserve">     2021年11月25日　</w:t>
      </w:r>
    </w:p>
    <w:p w:rsidR="006648A3" w:rsidRDefault="006648A3" w:rsidP="006648A3">
      <w:pPr>
        <w:pStyle w:val="a5"/>
        <w:widowControl/>
        <w:shd w:val="clear" w:color="auto" w:fill="FFFFFF"/>
        <w:spacing w:line="560" w:lineRule="atLeast"/>
        <w:ind w:firstLine="6080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（院印）</w:t>
      </w:r>
    </w:p>
    <w:p w:rsidR="006648A3" w:rsidRDefault="006648A3" w:rsidP="006648A3">
      <w:pPr>
        <w:pStyle w:val="a5"/>
        <w:widowControl/>
        <w:shd w:val="clear" w:color="auto" w:fill="FFFFFF"/>
        <w:spacing w:line="560" w:lineRule="atLeast"/>
        <w:ind w:left="1280" w:hanging="1280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附件：1.被告人现在处所：内蒙古自治区赤峰市红山区****号楼**单元**楼**；</w:t>
      </w:r>
    </w:p>
    <w:p w:rsidR="006648A3" w:rsidRDefault="006648A3" w:rsidP="006648A3">
      <w:pPr>
        <w:pStyle w:val="a5"/>
        <w:widowControl/>
        <w:shd w:val="clear" w:color="auto" w:fill="FFFFFF"/>
        <w:spacing w:line="560" w:lineRule="atLeast"/>
        <w:ind w:firstLine="960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2.案卷材料和证据2册；</w:t>
      </w:r>
    </w:p>
    <w:p w:rsidR="006648A3" w:rsidRDefault="006648A3" w:rsidP="006648A3">
      <w:pPr>
        <w:pStyle w:val="a5"/>
        <w:widowControl/>
        <w:shd w:val="clear" w:color="auto" w:fill="FFFFFF"/>
        <w:spacing w:line="560" w:lineRule="atLeast"/>
        <w:ind w:firstLine="960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3.《认罪认罚具结书》1份。</w:t>
      </w:r>
    </w:p>
    <w:p w:rsidR="006648A3" w:rsidRDefault="006648A3" w:rsidP="006648A3"/>
    <w:p w:rsidR="006648A3" w:rsidRDefault="006648A3" w:rsidP="006648A3"/>
    <w:p w:rsidR="006648A3" w:rsidRDefault="006648A3" w:rsidP="006648A3"/>
    <w:p w:rsidR="006648A3" w:rsidRDefault="006648A3" w:rsidP="006648A3"/>
    <w:p w:rsidR="006648A3" w:rsidRDefault="006648A3" w:rsidP="006648A3"/>
    <w:p w:rsidR="006648A3" w:rsidRDefault="006648A3" w:rsidP="006648A3"/>
    <w:p w:rsidR="00DC557E" w:rsidRPr="006648A3" w:rsidRDefault="00DC557E"/>
    <w:sectPr w:rsidR="00DC557E" w:rsidRPr="00664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57E" w:rsidRDefault="00DC557E" w:rsidP="006648A3">
      <w:r>
        <w:separator/>
      </w:r>
    </w:p>
  </w:endnote>
  <w:endnote w:type="continuationSeparator" w:id="1">
    <w:p w:rsidR="00DC557E" w:rsidRDefault="00DC557E" w:rsidP="00664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57E" w:rsidRDefault="00DC557E" w:rsidP="006648A3">
      <w:r>
        <w:separator/>
      </w:r>
    </w:p>
  </w:footnote>
  <w:footnote w:type="continuationSeparator" w:id="1">
    <w:p w:rsidR="00DC557E" w:rsidRDefault="00DC557E" w:rsidP="00664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6648A3"/>
    <w:rsid w:val="006648A3"/>
    <w:rsid w:val="00DC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A3"/>
    <w:pPr>
      <w:widowControl w:val="0"/>
      <w:jc w:val="both"/>
    </w:pPr>
    <w:rPr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  <w:lang w:bidi="bo-CN"/>
    </w:rPr>
  </w:style>
  <w:style w:type="character" w:customStyle="1" w:styleId="Char">
    <w:name w:val="页眉 Char"/>
    <w:basedOn w:val="a0"/>
    <w:link w:val="a3"/>
    <w:uiPriority w:val="99"/>
    <w:semiHidden/>
    <w:rsid w:val="006648A3"/>
    <w:rPr>
      <w:sz w:val="18"/>
      <w:szCs w:val="26"/>
    </w:rPr>
  </w:style>
  <w:style w:type="paragraph" w:styleId="a4">
    <w:name w:val="footer"/>
    <w:basedOn w:val="a"/>
    <w:link w:val="Char0"/>
    <w:uiPriority w:val="99"/>
    <w:semiHidden/>
    <w:unhideWhenUsed/>
    <w:rsid w:val="006648A3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0">
    <w:name w:val="页脚 Char"/>
    <w:basedOn w:val="a0"/>
    <w:link w:val="a4"/>
    <w:uiPriority w:val="99"/>
    <w:semiHidden/>
    <w:rsid w:val="006648A3"/>
    <w:rPr>
      <w:sz w:val="18"/>
      <w:szCs w:val="26"/>
    </w:rPr>
  </w:style>
  <w:style w:type="paragraph" w:styleId="a5">
    <w:name w:val="Normal (Web)"/>
    <w:basedOn w:val="a"/>
    <w:rsid w:val="006648A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</Words>
  <Characters>1189</Characters>
  <Application>Microsoft Office Word</Application>
  <DocSecurity>0</DocSecurity>
  <Lines>9</Lines>
  <Paragraphs>2</Paragraphs>
  <ScaleCrop>false</ScaleCrop>
  <Company>Lenovo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2021-12-09T10:09:00Z</dcterms:created>
  <dcterms:modified xsi:type="dcterms:W3CDTF">2021-12-09T10:09:00Z</dcterms:modified>
</cp:coreProperties>
</file>